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597E79" w:rsidRDefault="00597E79"/>
    <w:p w:rsidR="00597E79" w:rsidRPr="00597E79" w:rsidRDefault="00597E79" w:rsidP="00597E79">
      <w:pPr>
        <w:pStyle w:val="Default"/>
        <w:spacing w:line="360" w:lineRule="auto"/>
        <w:jc w:val="center"/>
        <w:rPr>
          <w:rFonts w:ascii="Calibri" w:hAnsi="Calibri"/>
          <w:b/>
        </w:rPr>
      </w:pPr>
      <w:r>
        <w:rPr>
          <w:rFonts w:ascii="Calibri" w:hAnsi="Calibri"/>
          <w:b/>
        </w:rPr>
        <w:t>Π</w:t>
      </w:r>
      <w:r w:rsidRPr="0055389C">
        <w:rPr>
          <w:rFonts w:ascii="Calibri" w:hAnsi="Calibri"/>
          <w:b/>
        </w:rPr>
        <w:t>ΑΡΑΡΤΗΜΑ</w:t>
      </w:r>
      <w:r w:rsidRPr="00597E79">
        <w:rPr>
          <w:rFonts w:ascii="Calibri" w:hAnsi="Calibri"/>
          <w:b/>
        </w:rPr>
        <w:t xml:space="preserve"> </w:t>
      </w:r>
      <w:r w:rsidRPr="0055389C">
        <w:rPr>
          <w:rFonts w:ascii="Calibri" w:hAnsi="Calibri"/>
          <w:b/>
        </w:rPr>
        <w:t>Β</w:t>
      </w:r>
    </w:p>
    <w:p w:rsidR="00597E79" w:rsidRDefault="00597E79" w:rsidP="00597E79">
      <w:pPr>
        <w:pStyle w:val="Default"/>
        <w:spacing w:line="360" w:lineRule="auto"/>
        <w:jc w:val="center"/>
        <w:rPr>
          <w:rFonts w:ascii="Calibri" w:hAnsi="Calibri"/>
          <w:b/>
          <w:sz w:val="22"/>
          <w:szCs w:val="22"/>
        </w:rPr>
      </w:pPr>
      <w:r w:rsidRPr="0055389C">
        <w:rPr>
          <w:rFonts w:ascii="Calibri" w:hAnsi="Calibri"/>
          <w:b/>
          <w:sz w:val="22"/>
          <w:szCs w:val="22"/>
        </w:rPr>
        <w:t>ΠΙΝΑΚΑΣ ΣΥΜΜΟΡΦΩΣΗΣ</w:t>
      </w:r>
      <w:r>
        <w:rPr>
          <w:rFonts w:ascii="Calibri" w:hAnsi="Calibri"/>
          <w:b/>
          <w:sz w:val="22"/>
          <w:szCs w:val="22"/>
        </w:rPr>
        <w:t xml:space="preserve"> </w:t>
      </w:r>
    </w:p>
    <w:p w:rsidR="00597E79" w:rsidRPr="0055389C" w:rsidRDefault="00597E79" w:rsidP="00597E79">
      <w:pPr>
        <w:pStyle w:val="Default"/>
        <w:spacing w:line="360" w:lineRule="auto"/>
        <w:jc w:val="center"/>
        <w:rPr>
          <w:rFonts w:ascii="Calibri" w:hAnsi="Calibri"/>
          <w:b/>
          <w:sz w:val="22"/>
          <w:szCs w:val="22"/>
        </w:rPr>
      </w:pPr>
      <w:r>
        <w:rPr>
          <w:rFonts w:ascii="Calibri" w:hAnsi="Calibri"/>
          <w:b/>
          <w:sz w:val="22"/>
          <w:szCs w:val="22"/>
        </w:rPr>
        <w:t xml:space="preserve">ΓΙΑ ΤΟ ΕΡΓΟ: </w:t>
      </w:r>
      <w:r w:rsidRPr="00DD64D4">
        <w:rPr>
          <w:rFonts w:ascii="Calibri" w:hAnsi="Calibri"/>
          <w:b/>
          <w:sz w:val="22"/>
          <w:szCs w:val="22"/>
        </w:rPr>
        <w:t>ΕΡΓΑΣΙΕΣ ΑΠΟΜΑΚΡΥΝΣΗΣ ΕΠΙΚΙΝΔΥΝΩΝ ΧΗΜΙΚΩΝ ΑΠΟΒΛΉΤΩΝ ΑΠΟ ΤΟΥΣ ΧΏΡΟΥΣ ΤΟΥ Γ.Π.Α. ΚΑΙ ΚΑΤΆΛΛΗΛΗ ΔΙΑΘΕΣΗ ΑΥΤΩΝ</w:t>
      </w:r>
      <w:r>
        <w:t xml:space="preserve"> </w:t>
      </w:r>
    </w:p>
    <w:p w:rsidR="00597E79" w:rsidRPr="000C604E" w:rsidRDefault="00597E79" w:rsidP="00597E79">
      <w:pPr>
        <w:pStyle w:val="Default"/>
        <w:spacing w:before="120" w:after="120"/>
        <w:jc w:val="both"/>
        <w:rPr>
          <w:rFonts w:ascii="Calibri" w:hAnsi="Calibri" w:cs="Arial"/>
          <w:sz w:val="22"/>
          <w:szCs w:val="22"/>
        </w:rPr>
      </w:pPr>
      <w:r w:rsidRPr="000C604E">
        <w:rPr>
          <w:rFonts w:ascii="Calibri" w:hAnsi="Calibri" w:cs="Arial"/>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597E79" w:rsidRPr="000C604E" w:rsidRDefault="00597E79" w:rsidP="00597E79">
      <w:pPr>
        <w:pStyle w:val="Default"/>
        <w:spacing w:before="120" w:after="120"/>
        <w:jc w:val="both"/>
        <w:rPr>
          <w:rFonts w:ascii="Calibri" w:hAnsi="Calibri" w:cs="Arial"/>
          <w:sz w:val="22"/>
          <w:szCs w:val="22"/>
        </w:rPr>
      </w:pPr>
      <w:r w:rsidRPr="000C604E">
        <w:rPr>
          <w:rFonts w:ascii="Calibri" w:hAnsi="Calibri" w:cs="Arial"/>
          <w:sz w:val="22"/>
          <w:szCs w:val="22"/>
        </w:rPr>
        <w:t xml:space="preserve">Ο υποψήφιος υποχρεούται να απαντήσει σε όλες τις ερωτήσεις του Πίνακα Συμμόρφωσης. Τα βασικά χαρακτηριστικά των ειδών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597E79" w:rsidRPr="000C604E" w:rsidRDefault="00597E79" w:rsidP="00597E79">
      <w:pPr>
        <w:pStyle w:val="Default"/>
        <w:spacing w:before="120" w:after="120"/>
        <w:jc w:val="both"/>
        <w:rPr>
          <w:rFonts w:ascii="Calibri" w:hAnsi="Calibri" w:cs="Arial"/>
          <w:sz w:val="22"/>
          <w:szCs w:val="22"/>
        </w:rPr>
      </w:pPr>
      <w:r w:rsidRPr="000C604E">
        <w:rPr>
          <w:rFonts w:ascii="Calibri" w:hAnsi="Calibri" w:cs="Arial"/>
          <w:sz w:val="22"/>
          <w:szCs w:val="22"/>
        </w:rPr>
        <w:t xml:space="preserve">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 </w:t>
      </w:r>
    </w:p>
    <w:p w:rsidR="00597E79" w:rsidRPr="0055389C" w:rsidRDefault="00597E79" w:rsidP="00597E79">
      <w:pPr>
        <w:pStyle w:val="Default"/>
        <w:spacing w:before="120" w:after="120"/>
        <w:jc w:val="both"/>
        <w:rPr>
          <w:rFonts w:ascii="Calibri" w:hAnsi="Calibri" w:cs="Arial"/>
          <w:sz w:val="22"/>
          <w:szCs w:val="22"/>
        </w:rPr>
      </w:pPr>
      <w:r w:rsidRPr="000C604E">
        <w:rPr>
          <w:rFonts w:ascii="Calibri" w:hAnsi="Calibri" w:cs="Arial"/>
          <w:sz w:val="22"/>
          <w:szCs w:val="22"/>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r w:rsidRPr="0055389C">
        <w:rPr>
          <w:rFonts w:ascii="Calibri" w:hAnsi="Calibri" w:cs="Arial"/>
          <w:sz w:val="22"/>
          <w:szCs w:val="22"/>
        </w:rPr>
        <w:t xml:space="preserve"> </w:t>
      </w:r>
    </w:p>
    <w:p w:rsidR="00597E79" w:rsidRPr="00AC6636" w:rsidRDefault="00597E79" w:rsidP="00597E79">
      <w:pPr>
        <w:pStyle w:val="Default"/>
        <w:spacing w:before="120" w:after="120" w:line="360" w:lineRule="auto"/>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597E79" w:rsidRPr="0055389C" w:rsidTr="00196CAC">
        <w:tc>
          <w:tcPr>
            <w:tcW w:w="918" w:type="dxa"/>
          </w:tcPr>
          <w:p w:rsidR="00597E79" w:rsidRPr="00EC62DC" w:rsidRDefault="00597E79" w:rsidP="00196CAC">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Α/Α</w:t>
            </w:r>
          </w:p>
        </w:tc>
        <w:tc>
          <w:tcPr>
            <w:tcW w:w="4050" w:type="dxa"/>
          </w:tcPr>
          <w:p w:rsidR="00597E79" w:rsidRPr="001F470B" w:rsidRDefault="00597E79" w:rsidP="00196CAC">
            <w:pPr>
              <w:pStyle w:val="Default"/>
              <w:widowControl w:val="0"/>
              <w:spacing w:before="120" w:after="120"/>
              <w:ind w:firstLine="284"/>
              <w:jc w:val="both"/>
              <w:rPr>
                <w:rFonts w:ascii="Calibri" w:hAnsi="Calibri" w:cs="Arial"/>
                <w:b/>
                <w:sz w:val="22"/>
                <w:szCs w:val="22"/>
              </w:rPr>
            </w:pPr>
            <w:r w:rsidRPr="001F470B">
              <w:rPr>
                <w:rFonts w:ascii="Calibri" w:hAnsi="Calibri" w:cs="Arial"/>
                <w:b/>
                <w:sz w:val="22"/>
                <w:szCs w:val="22"/>
              </w:rPr>
              <w:t>ΠΡΟΔΙΑΓΡΑΦΗ</w:t>
            </w:r>
          </w:p>
        </w:tc>
        <w:tc>
          <w:tcPr>
            <w:tcW w:w="1350" w:type="dxa"/>
            <w:vAlign w:val="center"/>
          </w:tcPr>
          <w:p w:rsidR="00597E79" w:rsidRPr="00EC62DC" w:rsidRDefault="00597E79" w:rsidP="00196CAC">
            <w:pPr>
              <w:pStyle w:val="Default"/>
              <w:widowControl w:val="0"/>
              <w:spacing w:before="120" w:after="120"/>
              <w:rPr>
                <w:rFonts w:ascii="Calibri" w:hAnsi="Calibri" w:cs="Arial"/>
                <w:b/>
                <w:sz w:val="22"/>
                <w:szCs w:val="22"/>
              </w:rPr>
            </w:pPr>
            <w:r w:rsidRPr="00EC62DC">
              <w:rPr>
                <w:rFonts w:ascii="Calibri" w:hAnsi="Calibri" w:cs="Arial"/>
                <w:b/>
                <w:sz w:val="22"/>
                <w:szCs w:val="22"/>
              </w:rPr>
              <w:t>ΑΠΑΙΤΗΣΗ</w:t>
            </w:r>
          </w:p>
        </w:tc>
        <w:tc>
          <w:tcPr>
            <w:tcW w:w="1440" w:type="dxa"/>
          </w:tcPr>
          <w:p w:rsidR="00597E79" w:rsidRPr="00EC62DC" w:rsidRDefault="00597E79" w:rsidP="00196CAC">
            <w:pPr>
              <w:pStyle w:val="Default"/>
              <w:widowControl w:val="0"/>
              <w:spacing w:before="120" w:after="120"/>
              <w:rPr>
                <w:rFonts w:ascii="Calibri" w:hAnsi="Calibri" w:cs="Arial"/>
                <w:b/>
                <w:sz w:val="22"/>
                <w:szCs w:val="22"/>
              </w:rPr>
            </w:pPr>
            <w:r w:rsidRPr="00EC62DC">
              <w:rPr>
                <w:rFonts w:ascii="Calibri" w:hAnsi="Calibri" w:cs="Arial"/>
                <w:b/>
                <w:sz w:val="22"/>
                <w:szCs w:val="22"/>
              </w:rPr>
              <w:t>ΑΠΑΝΤΗΣΗ</w:t>
            </w:r>
          </w:p>
        </w:tc>
        <w:tc>
          <w:tcPr>
            <w:tcW w:w="1818" w:type="dxa"/>
          </w:tcPr>
          <w:p w:rsidR="00597E79" w:rsidRPr="00EC62DC" w:rsidRDefault="00597E79" w:rsidP="00196CAC">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ΠΑΡΑΠΟΜΠΗ ΤΕΚΜΗΡΙΩΣΗΣ</w:t>
            </w:r>
          </w:p>
        </w:tc>
      </w:tr>
      <w:tr w:rsidR="00597E79" w:rsidRPr="0055389C" w:rsidTr="00196CAC">
        <w:tc>
          <w:tcPr>
            <w:tcW w:w="9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r w:rsidRPr="00EC62DC">
              <w:rPr>
                <w:rFonts w:ascii="Calibri" w:hAnsi="Calibri" w:cs="Arial"/>
                <w:sz w:val="22"/>
                <w:szCs w:val="22"/>
              </w:rPr>
              <w:t>1</w:t>
            </w:r>
          </w:p>
        </w:tc>
        <w:tc>
          <w:tcPr>
            <w:tcW w:w="4050" w:type="dxa"/>
          </w:tcPr>
          <w:p w:rsidR="00597E79" w:rsidRPr="00A97D5A" w:rsidRDefault="00597E79" w:rsidP="00196CAC">
            <w:pPr>
              <w:jc w:val="both"/>
              <w:rPr>
                <w:rFonts w:ascii="Calibri" w:hAnsi="Calibri"/>
                <w:bCs/>
                <w:sz w:val="22"/>
                <w:szCs w:val="22"/>
              </w:rPr>
            </w:pPr>
            <w:r>
              <w:rPr>
                <w:rFonts w:ascii="Calibri" w:hAnsi="Calibri"/>
                <w:bCs/>
                <w:sz w:val="22"/>
                <w:szCs w:val="22"/>
              </w:rPr>
              <w:t>Συλλογή χημικών αποβλήτων από τους χώρους του ΓΠΑ συσκευασμένα σε κατάλληλα πιστοποιημένα γι αυτό το σκοπό δοχεία</w:t>
            </w:r>
          </w:p>
          <w:p w:rsidR="00597E79" w:rsidRPr="00A97D5A" w:rsidRDefault="00597E79" w:rsidP="00196CAC">
            <w:pPr>
              <w:jc w:val="both"/>
              <w:rPr>
                <w:highlight w:val="yellow"/>
              </w:rPr>
            </w:pPr>
          </w:p>
        </w:tc>
        <w:tc>
          <w:tcPr>
            <w:tcW w:w="1350" w:type="dxa"/>
            <w:vAlign w:val="center"/>
          </w:tcPr>
          <w:p w:rsidR="00597E79" w:rsidRPr="00EC62DC" w:rsidRDefault="00597E79" w:rsidP="00196CAC">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2</w:t>
            </w:r>
          </w:p>
        </w:tc>
        <w:tc>
          <w:tcPr>
            <w:tcW w:w="4050" w:type="dxa"/>
          </w:tcPr>
          <w:p w:rsidR="00597E79" w:rsidRPr="00A97D5A" w:rsidRDefault="00597E79" w:rsidP="00196CAC">
            <w:pPr>
              <w:jc w:val="both"/>
              <w:rPr>
                <w:rFonts w:ascii="Calibri" w:hAnsi="Calibri"/>
                <w:bCs/>
                <w:sz w:val="22"/>
                <w:szCs w:val="22"/>
              </w:rPr>
            </w:pPr>
            <w:r>
              <w:rPr>
                <w:rFonts w:ascii="Calibri" w:hAnsi="Calibri"/>
                <w:bCs/>
                <w:sz w:val="22"/>
                <w:szCs w:val="22"/>
              </w:rPr>
              <w:t xml:space="preserve">Απομάκρυνση των ως άνω </w:t>
            </w:r>
            <w:proofErr w:type="spellStart"/>
            <w:r>
              <w:rPr>
                <w:rFonts w:ascii="Calibri" w:hAnsi="Calibri"/>
                <w:bCs/>
                <w:sz w:val="22"/>
                <w:szCs w:val="22"/>
              </w:rPr>
              <w:t>συλλεχθέντων</w:t>
            </w:r>
            <w:proofErr w:type="spellEnd"/>
            <w:r>
              <w:rPr>
                <w:rFonts w:ascii="Calibri" w:hAnsi="Calibri"/>
                <w:bCs/>
                <w:sz w:val="22"/>
                <w:szCs w:val="22"/>
              </w:rPr>
              <w:t xml:space="preserve"> χημικών αποβλήτων από τους χώρους του Πανεπιστημίου</w:t>
            </w:r>
          </w:p>
          <w:p w:rsidR="00597E79" w:rsidRPr="00A97D5A" w:rsidRDefault="00597E79" w:rsidP="00196CAC">
            <w:pPr>
              <w:jc w:val="both"/>
              <w:rPr>
                <w:rFonts w:ascii="Calibri" w:hAnsi="Calibri"/>
                <w:bCs/>
                <w:sz w:val="22"/>
                <w:szCs w:val="22"/>
                <w:highlight w:val="yellow"/>
              </w:rPr>
            </w:pPr>
          </w:p>
        </w:tc>
        <w:tc>
          <w:tcPr>
            <w:tcW w:w="1350" w:type="dxa"/>
            <w:vAlign w:val="center"/>
          </w:tcPr>
          <w:p w:rsidR="00597E79" w:rsidRPr="00EC62DC" w:rsidRDefault="00597E79" w:rsidP="00196CAC">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3</w:t>
            </w:r>
          </w:p>
        </w:tc>
        <w:tc>
          <w:tcPr>
            <w:tcW w:w="4050" w:type="dxa"/>
          </w:tcPr>
          <w:p w:rsidR="00597E79" w:rsidRPr="00A97D5A" w:rsidRDefault="00597E79" w:rsidP="00196CAC">
            <w:pPr>
              <w:jc w:val="both"/>
              <w:rPr>
                <w:rFonts w:ascii="Calibri" w:hAnsi="Calibri"/>
                <w:bCs/>
                <w:sz w:val="22"/>
                <w:szCs w:val="22"/>
              </w:rPr>
            </w:pPr>
            <w:r>
              <w:rPr>
                <w:rFonts w:ascii="Calibri" w:hAnsi="Calibri"/>
                <w:bCs/>
                <w:sz w:val="22"/>
                <w:szCs w:val="22"/>
              </w:rPr>
              <w:t>Κατάλληλη διάθεσή τους σύμφωνα με την ισχύουσα Εθνική και Κοινοτική νομοθεσία</w:t>
            </w:r>
          </w:p>
          <w:p w:rsidR="00597E79" w:rsidRPr="00A97D5A" w:rsidRDefault="00597E79" w:rsidP="00196CAC">
            <w:pPr>
              <w:jc w:val="both"/>
              <w:rPr>
                <w:rFonts w:ascii="Calibri" w:hAnsi="Calibri"/>
                <w:bCs/>
                <w:sz w:val="22"/>
                <w:szCs w:val="22"/>
              </w:rPr>
            </w:pPr>
          </w:p>
        </w:tc>
        <w:tc>
          <w:tcPr>
            <w:tcW w:w="1350" w:type="dxa"/>
            <w:vAlign w:val="center"/>
          </w:tcPr>
          <w:p w:rsidR="00597E79" w:rsidRPr="00EC62DC" w:rsidRDefault="00597E79" w:rsidP="00196CAC">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4</w:t>
            </w:r>
          </w:p>
        </w:tc>
        <w:tc>
          <w:tcPr>
            <w:tcW w:w="4050" w:type="dxa"/>
          </w:tcPr>
          <w:p w:rsidR="00597E79" w:rsidRDefault="00597E79" w:rsidP="00196CAC">
            <w:pPr>
              <w:jc w:val="both"/>
              <w:rPr>
                <w:rFonts w:ascii="Calibri" w:hAnsi="Calibri"/>
                <w:bCs/>
                <w:sz w:val="22"/>
                <w:szCs w:val="22"/>
              </w:rPr>
            </w:pPr>
            <w:r w:rsidRPr="00EB52B7">
              <w:rPr>
                <w:rFonts w:ascii="Calibri" w:hAnsi="Calibri"/>
                <w:bCs/>
                <w:sz w:val="22"/>
                <w:szCs w:val="22"/>
              </w:rPr>
              <w:t xml:space="preserve">Ενδεικτική σύσταση των αποβλήτων που απομακρύνονται θα παραδίδεται στον ανάδοχο του φορέα για τη συλλογή και απομάκρυνση των αποβλήτων. Αν </w:t>
            </w:r>
            <w:r w:rsidRPr="00EB52B7">
              <w:rPr>
                <w:rFonts w:ascii="Calibri" w:hAnsi="Calibri"/>
                <w:bCs/>
                <w:sz w:val="22"/>
                <w:szCs w:val="22"/>
              </w:rPr>
              <w:lastRenderedPageBreak/>
              <w:t>απαιτηθεί χημική ανάλυση για την ταυτοποίηση των αποβλήτων που  απομακρύνονται το κόστος αυτής θα βαρύνει αποκλειστικά τον ανάδοχο.</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lastRenderedPageBreak/>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lastRenderedPageBreak/>
              <w:t>5</w:t>
            </w:r>
          </w:p>
        </w:tc>
        <w:tc>
          <w:tcPr>
            <w:tcW w:w="4050" w:type="dxa"/>
          </w:tcPr>
          <w:p w:rsidR="00597E79" w:rsidRDefault="00597E79" w:rsidP="00196CAC">
            <w:pPr>
              <w:jc w:val="both"/>
              <w:rPr>
                <w:rFonts w:ascii="Calibri" w:hAnsi="Calibri"/>
                <w:bCs/>
                <w:sz w:val="22"/>
                <w:szCs w:val="22"/>
              </w:rPr>
            </w:pPr>
            <w:r w:rsidRPr="00EB52B7">
              <w:rPr>
                <w:rFonts w:ascii="Calibri" w:hAnsi="Calibri"/>
                <w:bCs/>
                <w:sz w:val="22"/>
                <w:szCs w:val="22"/>
              </w:rPr>
              <w:t>Διάθεση ικανού αριθμού ανανεώσιμων υλικών (δοχεία, βαρέλια, υλικά συσκευασίας), διάθεση ειδικού καροτσιού με μεταλλικό κιγκλίδωμα ασφαλείας για την αποφυγή ατυχήματος].</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6</w:t>
            </w:r>
          </w:p>
        </w:tc>
        <w:tc>
          <w:tcPr>
            <w:tcW w:w="4050" w:type="dxa"/>
          </w:tcPr>
          <w:p w:rsidR="00597E79" w:rsidRDefault="00597E79" w:rsidP="00196CAC">
            <w:pPr>
              <w:jc w:val="both"/>
              <w:rPr>
                <w:rFonts w:ascii="Calibri" w:hAnsi="Calibri"/>
                <w:bCs/>
                <w:sz w:val="22"/>
                <w:szCs w:val="22"/>
              </w:rPr>
            </w:pPr>
            <w:r w:rsidRPr="00EB52B7">
              <w:rPr>
                <w:rFonts w:ascii="Calibri" w:hAnsi="Calibri"/>
                <w:bCs/>
                <w:sz w:val="22"/>
                <w:szCs w:val="22"/>
              </w:rPr>
              <w:t>Αν απαιτηθεί η διασυνοριακή μεταφορά των αποβλήτων τότε με ευθύνη του αναδόχου θα πρέπει να γίνει συσκευασία των χημικών αποβλήτων σε βαρέλια σύμφωνα με τις διεθνείς προδιαγραφές όπως αυτές ορίζονται στον Διεθνή Ναυτιλιακό Κώδικα για την μεταφορά επικινδύνων φορτίων (IMDG CODE) και τον Ευρωπαϊκό Κανονισμό για τις οδικές μεταφορές (ADR).</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7</w:t>
            </w:r>
          </w:p>
        </w:tc>
        <w:tc>
          <w:tcPr>
            <w:tcW w:w="4050" w:type="dxa"/>
          </w:tcPr>
          <w:p w:rsidR="00597E79" w:rsidRDefault="00597E79" w:rsidP="00196CAC">
            <w:pPr>
              <w:jc w:val="both"/>
              <w:rPr>
                <w:rFonts w:ascii="Calibri" w:hAnsi="Calibri"/>
                <w:bCs/>
                <w:sz w:val="22"/>
                <w:szCs w:val="22"/>
              </w:rPr>
            </w:pPr>
            <w:r w:rsidRPr="00EB52B7">
              <w:rPr>
                <w:rFonts w:ascii="Calibri" w:hAnsi="Calibri"/>
                <w:sz w:val="22"/>
                <w:szCs w:val="22"/>
              </w:rPr>
              <w:t>Σήμανση των συσκευασιών βάσει των προδιαγραφών</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8</w:t>
            </w:r>
          </w:p>
        </w:tc>
        <w:tc>
          <w:tcPr>
            <w:tcW w:w="4050" w:type="dxa"/>
          </w:tcPr>
          <w:p w:rsidR="00597E79" w:rsidRPr="00EB52B7" w:rsidRDefault="00597E79" w:rsidP="00196CAC">
            <w:pPr>
              <w:jc w:val="both"/>
              <w:rPr>
                <w:rFonts w:ascii="Calibri" w:hAnsi="Calibri"/>
                <w:sz w:val="22"/>
                <w:szCs w:val="22"/>
              </w:rPr>
            </w:pPr>
            <w:r w:rsidRPr="00EB52B7">
              <w:rPr>
                <w:rFonts w:ascii="Calibri" w:hAnsi="Calibri"/>
                <w:sz w:val="22"/>
                <w:szCs w:val="22"/>
              </w:rPr>
              <w:t>Φόρτωση και ασφαλής τοποθέτηση των συσκευασιών σε κλειστό εμπορευματοκιβώτιο</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9</w:t>
            </w:r>
          </w:p>
        </w:tc>
        <w:tc>
          <w:tcPr>
            <w:tcW w:w="4050" w:type="dxa"/>
          </w:tcPr>
          <w:p w:rsidR="00597E79" w:rsidRPr="00EB52B7" w:rsidRDefault="00597E79" w:rsidP="00196CAC">
            <w:pPr>
              <w:spacing w:before="120"/>
              <w:jc w:val="both"/>
              <w:rPr>
                <w:rFonts w:ascii="Calibri" w:hAnsi="Calibri"/>
                <w:sz w:val="22"/>
                <w:szCs w:val="22"/>
              </w:rPr>
            </w:pPr>
            <w:r w:rsidRPr="00EB52B7">
              <w:rPr>
                <w:rFonts w:ascii="Calibri" w:hAnsi="Calibri"/>
                <w:sz w:val="22"/>
                <w:szCs w:val="22"/>
              </w:rPr>
              <w:t>Πιστοποίηση του εμπορευματοκιβωτίου από αναγνωρισμένο Νηογνώμονα.</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10</w:t>
            </w:r>
          </w:p>
        </w:tc>
        <w:tc>
          <w:tcPr>
            <w:tcW w:w="4050" w:type="dxa"/>
          </w:tcPr>
          <w:p w:rsidR="00597E79" w:rsidRPr="00EB52B7" w:rsidRDefault="00597E79" w:rsidP="00196CAC">
            <w:pPr>
              <w:spacing w:before="120"/>
              <w:jc w:val="both"/>
              <w:rPr>
                <w:rFonts w:ascii="Calibri" w:hAnsi="Calibri"/>
                <w:sz w:val="22"/>
                <w:szCs w:val="22"/>
              </w:rPr>
            </w:pPr>
            <w:r w:rsidRPr="00EB52B7">
              <w:rPr>
                <w:rFonts w:ascii="Calibri" w:hAnsi="Calibri"/>
                <w:sz w:val="22"/>
                <w:szCs w:val="22"/>
              </w:rPr>
              <w:t>Έκδοση όλων των απαραίτητων και προβλεπόμενων από την νομοθεσία εγγράφων, αδειών και εγκρίσεων για την διαχείριση και την διασυνοριακή μεταφορά του Υλικού.</w:t>
            </w:r>
          </w:p>
          <w:p w:rsidR="00597E79" w:rsidRPr="00EB52B7" w:rsidRDefault="00597E79" w:rsidP="00196CAC">
            <w:pPr>
              <w:jc w:val="both"/>
              <w:rPr>
                <w:rFonts w:ascii="Calibri" w:hAnsi="Calibri"/>
                <w:sz w:val="22"/>
                <w:szCs w:val="22"/>
              </w:rPr>
            </w:pP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11</w:t>
            </w:r>
          </w:p>
        </w:tc>
        <w:tc>
          <w:tcPr>
            <w:tcW w:w="4050" w:type="dxa"/>
          </w:tcPr>
          <w:p w:rsidR="00597E79" w:rsidRPr="00EB52B7" w:rsidRDefault="00597E79" w:rsidP="00196CAC">
            <w:pPr>
              <w:jc w:val="both"/>
              <w:rPr>
                <w:rFonts w:ascii="Calibri" w:hAnsi="Calibri"/>
                <w:sz w:val="22"/>
                <w:szCs w:val="22"/>
              </w:rPr>
            </w:pPr>
            <w:r w:rsidRPr="00EB52B7">
              <w:rPr>
                <w:rFonts w:ascii="Calibri" w:hAnsi="Calibri"/>
                <w:sz w:val="22"/>
                <w:szCs w:val="22"/>
              </w:rPr>
              <w:t>Μεταφορά των αποβλήτων στον χώρο της εγκατάστασης που θα πραγματοποιηθεί η τελική διάθεση</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12</w:t>
            </w:r>
          </w:p>
        </w:tc>
        <w:tc>
          <w:tcPr>
            <w:tcW w:w="4050" w:type="dxa"/>
          </w:tcPr>
          <w:p w:rsidR="00597E79" w:rsidRPr="00EB52B7" w:rsidRDefault="00597E79" w:rsidP="00196CAC">
            <w:pPr>
              <w:spacing w:before="120"/>
              <w:jc w:val="both"/>
              <w:rPr>
                <w:rFonts w:ascii="Calibri" w:hAnsi="Calibri"/>
                <w:sz w:val="22"/>
                <w:szCs w:val="22"/>
              </w:rPr>
            </w:pPr>
            <w:r w:rsidRPr="00EB52B7">
              <w:rPr>
                <w:rFonts w:ascii="Calibri" w:hAnsi="Calibri"/>
                <w:sz w:val="22"/>
                <w:szCs w:val="22"/>
              </w:rPr>
              <w:t xml:space="preserve">Ασφαλιστική κάλυψη από την στιγμή έναρξης της διαδικασίας παραλαβής των αποβλήτων και καθ’ όλη την διάρκεια της μεταφοράς τους μέχρι την εγκατάσταση της τελικής διάθεσης για περιπτώσεις ατυχημάτων και ρύπανσης του περιβάλλοντος για την αποκατάσταση της ρύπανσης ή της βλάβης που ενδεχομένως προκληθεί στο οικοσύστημα σε περίπτωση διαρροής και τις δαπάνες διάθεσης των υλικών αυτών στις ειδικές εγκαταστάσεις. </w:t>
            </w:r>
          </w:p>
          <w:p w:rsidR="00597E79" w:rsidRPr="00EB52B7" w:rsidRDefault="00597E79" w:rsidP="00196CAC">
            <w:pPr>
              <w:jc w:val="both"/>
              <w:rPr>
                <w:rFonts w:ascii="Calibri" w:hAnsi="Calibri"/>
                <w:sz w:val="22"/>
                <w:szCs w:val="22"/>
              </w:rPr>
            </w:pP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8807CC">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lastRenderedPageBreak/>
              <w:t>13</w:t>
            </w:r>
          </w:p>
        </w:tc>
        <w:tc>
          <w:tcPr>
            <w:tcW w:w="4050" w:type="dxa"/>
          </w:tcPr>
          <w:p w:rsidR="00597E79" w:rsidRPr="00EB52B7" w:rsidRDefault="00597E79" w:rsidP="00196CAC">
            <w:pPr>
              <w:spacing w:before="120"/>
              <w:jc w:val="both"/>
              <w:rPr>
                <w:rFonts w:ascii="Calibri" w:hAnsi="Calibri"/>
                <w:sz w:val="22"/>
                <w:szCs w:val="22"/>
              </w:rPr>
            </w:pPr>
            <w:r w:rsidRPr="00EB52B7">
              <w:rPr>
                <w:rFonts w:ascii="Calibri" w:hAnsi="Calibri"/>
                <w:sz w:val="22"/>
                <w:szCs w:val="22"/>
              </w:rPr>
              <w:t>Χορήγηση Πιστοποιητικού Διάθεσης/καταστροφής των επικίνδυνων χημικών .</w:t>
            </w:r>
          </w:p>
          <w:p w:rsidR="00597E79" w:rsidRPr="00EB52B7" w:rsidRDefault="00597E79" w:rsidP="00196CAC">
            <w:pPr>
              <w:jc w:val="both"/>
              <w:rPr>
                <w:rFonts w:ascii="Calibri" w:hAnsi="Calibri"/>
                <w:sz w:val="22"/>
                <w:szCs w:val="22"/>
              </w:rPr>
            </w:pP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39634A">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r w:rsidR="00597E79" w:rsidRPr="0055389C" w:rsidTr="00196CAC">
        <w:tc>
          <w:tcPr>
            <w:tcW w:w="918" w:type="dxa"/>
          </w:tcPr>
          <w:p w:rsidR="00597E79" w:rsidRDefault="00597E79" w:rsidP="00196CAC">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14</w:t>
            </w:r>
          </w:p>
        </w:tc>
        <w:tc>
          <w:tcPr>
            <w:tcW w:w="4050" w:type="dxa"/>
          </w:tcPr>
          <w:p w:rsidR="00597E79" w:rsidRPr="00EB52B7" w:rsidRDefault="00597E79" w:rsidP="00196CAC">
            <w:pPr>
              <w:jc w:val="both"/>
              <w:rPr>
                <w:rFonts w:ascii="Calibri" w:hAnsi="Calibri"/>
                <w:sz w:val="22"/>
                <w:szCs w:val="22"/>
              </w:rPr>
            </w:pPr>
            <w:r w:rsidRPr="00EB52B7">
              <w:rPr>
                <w:rFonts w:ascii="Calibri" w:hAnsi="Calibri"/>
                <w:sz w:val="22"/>
                <w:szCs w:val="22"/>
              </w:rPr>
              <w:t>Σε όλα τα στάδια των εργασιών θα πρέπει να υπάρχουν διαθέσιμα φορητά φαρμακεία πρώτων βοηθειών, καθώς και όλα τα τηλέφωνα άμεσης ανάγκης (Πυροσβεστική Υπηρεσία και να ληφθούν όλα τα απαραίτητα προληπτικά μέτρα ασφαλείας, ώστε να αποφευχθεί η πιθανότητα πρόκλησης ατυχήματος.</w:t>
            </w:r>
          </w:p>
        </w:tc>
        <w:tc>
          <w:tcPr>
            <w:tcW w:w="1350" w:type="dxa"/>
            <w:vAlign w:val="center"/>
          </w:tcPr>
          <w:p w:rsidR="00597E79" w:rsidRPr="00EC62DC" w:rsidRDefault="00597E79" w:rsidP="00196CAC">
            <w:pPr>
              <w:widowControl w:val="0"/>
              <w:spacing w:line="360" w:lineRule="auto"/>
              <w:ind w:firstLine="284"/>
              <w:jc w:val="center"/>
              <w:rPr>
                <w:rFonts w:ascii="Calibri" w:hAnsi="Calibri" w:cs="Arial"/>
                <w:sz w:val="22"/>
                <w:szCs w:val="22"/>
              </w:rPr>
            </w:pPr>
            <w:r w:rsidRPr="0039634A">
              <w:rPr>
                <w:rFonts w:ascii="Calibri" w:hAnsi="Calibri" w:cs="Arial"/>
                <w:sz w:val="22"/>
                <w:szCs w:val="22"/>
              </w:rPr>
              <w:t>ΝΑΙ</w:t>
            </w:r>
          </w:p>
        </w:tc>
        <w:tc>
          <w:tcPr>
            <w:tcW w:w="1440"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c>
          <w:tcPr>
            <w:tcW w:w="1818" w:type="dxa"/>
          </w:tcPr>
          <w:p w:rsidR="00597E79" w:rsidRPr="00EC62DC" w:rsidRDefault="00597E79" w:rsidP="00196CAC">
            <w:pPr>
              <w:pStyle w:val="Default"/>
              <w:widowControl w:val="0"/>
              <w:spacing w:before="120" w:after="120" w:line="360" w:lineRule="auto"/>
              <w:ind w:firstLine="284"/>
              <w:jc w:val="both"/>
              <w:rPr>
                <w:rFonts w:ascii="Calibri" w:hAnsi="Calibri" w:cs="Arial"/>
                <w:sz w:val="22"/>
                <w:szCs w:val="22"/>
              </w:rPr>
            </w:pPr>
          </w:p>
        </w:tc>
      </w:tr>
    </w:tbl>
    <w:p w:rsidR="00597E79" w:rsidRDefault="00597E79" w:rsidP="00597E79">
      <w:pPr>
        <w:pStyle w:val="Default"/>
        <w:spacing w:before="120" w:after="120" w:line="360" w:lineRule="auto"/>
        <w:jc w:val="both"/>
        <w:rPr>
          <w:rFonts w:ascii="Arial" w:hAnsi="Arial" w:cs="Arial"/>
        </w:rPr>
      </w:pPr>
    </w:p>
    <w:p w:rsidR="00597E79" w:rsidRPr="008C775A" w:rsidRDefault="00597E79" w:rsidP="00597E79">
      <w:pPr>
        <w:widowControl w:val="0"/>
        <w:jc w:val="both"/>
        <w:rPr>
          <w:rFonts w:ascii="Calibri" w:hAnsi="Calibri"/>
          <w:b/>
          <w:i/>
          <w:iCs/>
          <w:color w:val="000000"/>
          <w:sz w:val="24"/>
          <w:szCs w:val="24"/>
        </w:rPr>
      </w:pPr>
      <w:r w:rsidRPr="008C775A">
        <w:rPr>
          <w:rFonts w:ascii="Calibri" w:hAnsi="Calibri"/>
          <w:b/>
          <w:i/>
          <w:color w:val="000000"/>
          <w:sz w:val="24"/>
          <w:szCs w:val="24"/>
        </w:rPr>
        <w:t xml:space="preserve">Δηλώνω υπεύθυνα ότι </w:t>
      </w:r>
      <w:r>
        <w:rPr>
          <w:rFonts w:ascii="Calibri" w:hAnsi="Calibri"/>
          <w:b/>
          <w:i/>
          <w:color w:val="000000"/>
          <w:sz w:val="24"/>
          <w:szCs w:val="24"/>
        </w:rPr>
        <w:t>ο</w:t>
      </w:r>
      <w:r w:rsidRPr="008C775A">
        <w:rPr>
          <w:rFonts w:ascii="Calibri" w:hAnsi="Calibri"/>
          <w:b/>
          <w:i/>
          <w:color w:val="000000"/>
          <w:sz w:val="24"/>
          <w:szCs w:val="24"/>
        </w:rPr>
        <w:t xml:space="preserve"> χρόνος παράδοσης δεν μπορεί να είναι μεγαλύτερος των </w:t>
      </w:r>
      <w:r>
        <w:rPr>
          <w:rFonts w:ascii="Calibri" w:hAnsi="Calibri"/>
          <w:b/>
          <w:i/>
          <w:color w:val="000000"/>
          <w:sz w:val="24"/>
          <w:szCs w:val="24"/>
        </w:rPr>
        <w:t>δώδεκα</w:t>
      </w:r>
      <w:r w:rsidRPr="008C775A">
        <w:rPr>
          <w:rFonts w:ascii="Calibri" w:hAnsi="Calibri"/>
          <w:b/>
          <w:i/>
          <w:color w:val="000000"/>
          <w:sz w:val="24"/>
          <w:szCs w:val="24"/>
        </w:rPr>
        <w:t xml:space="preserve"> (</w:t>
      </w:r>
      <w:r>
        <w:rPr>
          <w:rFonts w:ascii="Calibri" w:hAnsi="Calibri"/>
          <w:b/>
          <w:i/>
          <w:color w:val="000000"/>
          <w:sz w:val="24"/>
          <w:szCs w:val="24"/>
        </w:rPr>
        <w:t>12</w:t>
      </w:r>
      <w:r w:rsidRPr="008C775A">
        <w:rPr>
          <w:rFonts w:ascii="Calibri" w:hAnsi="Calibri"/>
          <w:b/>
          <w:i/>
          <w:color w:val="000000"/>
          <w:sz w:val="24"/>
          <w:szCs w:val="24"/>
        </w:rPr>
        <w:t xml:space="preserve">) μηνών από την ημερομηνία υπογραφής της σύμβασης. </w:t>
      </w:r>
    </w:p>
    <w:p w:rsidR="00597E79" w:rsidRDefault="00597E79" w:rsidP="00597E79">
      <w:pPr>
        <w:spacing w:after="120" w:line="360" w:lineRule="auto"/>
        <w:rPr>
          <w:rFonts w:ascii="Arial" w:hAnsi="Arial" w:cs="Arial"/>
          <w:b/>
          <w:u w:val="single"/>
        </w:rPr>
      </w:pPr>
    </w:p>
    <w:p w:rsidR="00597E79" w:rsidRDefault="00597E79" w:rsidP="00597E79">
      <w:pPr>
        <w:spacing w:after="120" w:line="360" w:lineRule="auto"/>
        <w:rPr>
          <w:rFonts w:ascii="Arial" w:hAnsi="Arial" w:cs="Arial"/>
          <w:b/>
          <w:u w:val="single"/>
        </w:rPr>
      </w:pPr>
    </w:p>
    <w:p w:rsidR="00597E79" w:rsidRPr="00AC6636" w:rsidRDefault="00597E79" w:rsidP="00597E79">
      <w:pPr>
        <w:spacing w:after="120" w:line="360" w:lineRule="auto"/>
        <w:rPr>
          <w:rFonts w:ascii="Arial" w:hAnsi="Arial" w:cs="Arial"/>
          <w:b/>
          <w:u w:val="single"/>
        </w:rPr>
      </w:pPr>
    </w:p>
    <w:p w:rsidR="00597E79" w:rsidRPr="00355E84" w:rsidRDefault="00597E79" w:rsidP="00597E79">
      <w:pPr>
        <w:jc w:val="center"/>
        <w:rPr>
          <w:rFonts w:ascii="Calibri" w:hAnsi="Calibri"/>
          <w:b/>
          <w:i/>
          <w:color w:val="000000"/>
          <w:sz w:val="24"/>
          <w:szCs w:val="24"/>
        </w:rPr>
      </w:pPr>
      <w:r w:rsidRPr="00355E84">
        <w:rPr>
          <w:rFonts w:ascii="Calibri" w:hAnsi="Calibri"/>
          <w:b/>
          <w:i/>
          <w:color w:val="000000"/>
          <w:sz w:val="24"/>
          <w:szCs w:val="24"/>
        </w:rPr>
        <w:t>Σφραγίδα και υπογραφή του συμμετέχοντα στο Διαγωνισμό</w:t>
      </w:r>
    </w:p>
    <w:p w:rsidR="00597E79" w:rsidRPr="008C775A" w:rsidRDefault="00597E79" w:rsidP="00597E79">
      <w:pPr>
        <w:spacing w:after="120" w:line="360" w:lineRule="auto"/>
        <w:ind w:left="2160" w:firstLine="720"/>
        <w:rPr>
          <w:rFonts w:ascii="Arial" w:hAnsi="Arial" w:cs="Arial"/>
          <w:b/>
          <w:u w:val="single"/>
        </w:rPr>
      </w:pPr>
    </w:p>
    <w:p w:rsidR="00597E79" w:rsidRDefault="00597E79"/>
    <w:sectPr w:rsidR="00597E79"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7E79"/>
    <w:rsid w:val="001542D0"/>
    <w:rsid w:val="00565424"/>
    <w:rsid w:val="00597E79"/>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79"/>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7E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3640</Characters>
  <Application>Microsoft Office Word</Application>
  <DocSecurity>0</DocSecurity>
  <Lines>30</Lines>
  <Paragraphs>8</Paragraphs>
  <ScaleCrop>false</ScaleCrop>
  <Company>Grizli777</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2017-10-16T14:07:00Z</dcterms:created>
  <dcterms:modified xsi:type="dcterms:W3CDTF">2017-10-16T14:07:00Z</dcterms:modified>
</cp:coreProperties>
</file>